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7848B" w14:textId="77777777" w:rsidR="006B240F" w:rsidRDefault="00512DFB">
      <w:pPr>
        <w:keepNext/>
        <w:keepLines/>
        <w:pBdr>
          <w:between w:val="nil"/>
        </w:pBdr>
        <w:tabs>
          <w:tab w:val="left" w:pos="1296"/>
        </w:tabs>
        <w:spacing w:before="200"/>
        <w:rPr>
          <w:rFonts w:ascii="Cambria" w:eastAsia="Cambria" w:hAnsi="Cambria" w:cs="Cambria"/>
          <w:i/>
          <w:color w:val="404040"/>
        </w:rPr>
      </w:pPr>
      <w:r>
        <w:rPr>
          <w:b/>
          <w:i/>
          <w:color w:val="404040"/>
          <w:sz w:val="28"/>
          <w:szCs w:val="28"/>
        </w:rPr>
        <w:t xml:space="preserve">RÚBRICA DE </w:t>
      </w:r>
      <w:r>
        <w:rPr>
          <w:b/>
          <w:i/>
          <w:color w:val="404040"/>
          <w:sz w:val="28"/>
          <w:szCs w:val="28"/>
        </w:rPr>
        <w:t>SINTAXIS DE LA ORACIÓN SUBORDINADA SUSTANTIVA</w:t>
      </w:r>
    </w:p>
    <w:p w14:paraId="0834996C" w14:textId="77777777" w:rsidR="006B240F" w:rsidRDefault="006B240F">
      <w:pPr>
        <w:jc w:val="center"/>
      </w:pPr>
    </w:p>
    <w:tbl>
      <w:tblPr>
        <w:tblStyle w:val="a"/>
        <w:tblW w:w="14490" w:type="dxa"/>
        <w:tblInd w:w="-225" w:type="dxa"/>
        <w:tblLayout w:type="fixed"/>
        <w:tblLook w:val="0000" w:firstRow="0" w:lastRow="0" w:firstColumn="0" w:lastColumn="0" w:noHBand="0" w:noVBand="0"/>
      </w:tblPr>
      <w:tblGrid>
        <w:gridCol w:w="1935"/>
        <w:gridCol w:w="4095"/>
        <w:gridCol w:w="4215"/>
        <w:gridCol w:w="4245"/>
      </w:tblGrid>
      <w:tr w:rsidR="006B240F" w14:paraId="22384CC2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64EE7E4D" w14:textId="77777777" w:rsidR="006B240F" w:rsidRDefault="00512DFB">
            <w:pPr>
              <w:spacing w:before="20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INDICADORES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8CCE4"/>
            <w:vAlign w:val="center"/>
          </w:tcPr>
          <w:p w14:paraId="2C704769" w14:textId="77777777" w:rsidR="006B240F" w:rsidRDefault="00512DFB">
            <w:pPr>
              <w:spacing w:before="400" w:after="200" w:line="273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Excelente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6E3BC"/>
            <w:vAlign w:val="center"/>
          </w:tcPr>
          <w:p w14:paraId="6A704F26" w14:textId="77777777" w:rsidR="006B240F" w:rsidRDefault="00512DFB">
            <w:pPr>
              <w:spacing w:before="400" w:after="200" w:line="273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Bien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  <w:vAlign w:val="center"/>
          </w:tcPr>
          <w:p w14:paraId="719953FF" w14:textId="77777777" w:rsidR="006B240F" w:rsidRDefault="00512DFB">
            <w:pPr>
              <w:spacing w:before="400" w:after="200" w:line="273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</w:t>
            </w:r>
            <w:r>
              <w:rPr>
                <w:b/>
                <w:sz w:val="20"/>
                <w:szCs w:val="20"/>
              </w:rPr>
              <w:t>suficiente</w:t>
            </w:r>
          </w:p>
        </w:tc>
      </w:tr>
      <w:tr w:rsidR="006B240F" w14:paraId="5B23F9BF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64E57056" w14:textId="77777777" w:rsidR="006B240F" w:rsidRDefault="00512DFB">
            <w:pPr>
              <w:jc w:val="center"/>
              <w:rPr>
                <w:rFonts w:ascii="Sarakanda" w:eastAsia="Sarakanda" w:hAnsi="Sarakanda" w:cs="Sarakanda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13867B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subordinación, sabe distinguir el verbo principal del subordinado, y delimita correctamente la oración subordinada.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B0475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subordinación, pero duda o comete errores al distinguir el verbo princ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ipal del subordinado y/o delimitar correctamente la oración subordinada.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6EC4C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comprende el concepto de subordinación y duda o comete errores al distinguir el verbo principal del subordinado o delimitar correctamente la oración subordinada.</w:t>
            </w:r>
          </w:p>
        </w:tc>
      </w:tr>
      <w:tr w:rsidR="006B240F" w14:paraId="7615D517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0E3101EF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  <w:p w14:paraId="0923F6BC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sustantiva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BD33A8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ación sustantiva y sabe aplicar correctamente la prueba de sustitución.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73980F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de subordinación sustantiva, pero duda o comete errores al aplicar la prueba de sustitución.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D6419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comprende el concepto de subordinación sustant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iva y duda o comete errores al aplicar la prueba de sustitución.</w:t>
            </w:r>
          </w:p>
        </w:tc>
      </w:tr>
      <w:tr w:rsidR="006B240F" w14:paraId="474C3A2D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3E9CD488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  <w:p w14:paraId="219244F1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sustantiva de sujeto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B9BBC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y la función de las OSS de sujeto y sabe aplicar correctamente las pruebas de sustitución y concordancia con el verbo principal.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422807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y la función de las OSS de sujeto, pero duda o comete errores a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l aplicar las pruebas de sustitución y concordancia con el verbo principal.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067F3E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comprende el concepto y la función de las OSS de sujeto y duda o comete errores al aplicar las pruebas de sustitución y concordancia con el verbo principal.</w:t>
            </w:r>
          </w:p>
        </w:tc>
      </w:tr>
      <w:tr w:rsidR="006B240F" w14:paraId="2D4E7525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5260A338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Concepto </w:t>
            </w:r>
            <w:r>
              <w:rPr>
                <w:b/>
                <w:sz w:val="20"/>
                <w:szCs w:val="20"/>
              </w:rPr>
              <w:t>de subordinación</w:t>
            </w:r>
          </w:p>
          <w:p w14:paraId="60627123" w14:textId="6B658E2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sustantiva de Compl</w:t>
            </w:r>
            <w:r w:rsidR="002B09B6">
              <w:rPr>
                <w:b/>
                <w:sz w:val="20"/>
                <w:szCs w:val="20"/>
              </w:rPr>
              <w:t>e</w:t>
            </w:r>
            <w:r>
              <w:rPr>
                <w:b/>
                <w:sz w:val="20"/>
                <w:szCs w:val="20"/>
              </w:rPr>
              <w:t>mento Directo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9B24BB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y la función de las OSS de complemento directo y sabe aplicar correctamente las pruebas de sustitución y de “lo + participio del verbo principal =__”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CEBAE" w14:textId="793117A8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oncepto y la función de las OSS de complemento directo,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pero duda o comete errores al aplicar las pruebas de sustitución y de “lo + participio del verbo principal =__”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4A5292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bookmarkStart w:id="0" w:name="_gjdgxs" w:colFirst="0" w:colLast="0"/>
            <w:bookmarkEnd w:id="0"/>
            <w:r>
              <w:rPr>
                <w:rFonts w:ascii="Sarakanda" w:eastAsia="Sarakanda" w:hAnsi="Sarakanda" w:cs="Sarakanda"/>
                <w:sz w:val="18"/>
                <w:szCs w:val="18"/>
              </w:rPr>
              <w:t>El alumno no comprende el concepto y la función de las OSS de complemento directo y dud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a o comete errores al aplicar las pruebas de sustitución y de “lo + participio del verbo principal =__”</w:t>
            </w:r>
          </w:p>
        </w:tc>
      </w:tr>
      <w:tr w:rsidR="006B240F" w14:paraId="1EE3E570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35F0D892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Concepto de subordinación</w:t>
            </w:r>
          </w:p>
          <w:p w14:paraId="73B1217E" w14:textId="77777777" w:rsidR="006B240F" w:rsidRDefault="00512D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sustantiva de término de la preposición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ED169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y la función de las OSS de término, sabe aplicar correctamente las pruebas de sustitución y puede identificar la función sintáctica del SP en las que están insertas.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4A60C" w14:textId="206C637B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comprende el concepto y la función de las OSS de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 xml:space="preserve"> término, 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pero duda o comete errores al aplicar las pruebas de sustitución y/o no siempre identifica correctamente la función sintáctica del SP en las que están insertas.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312C6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comprende el concepto y la función de las OSS de término y duda o comet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e errores tanto al aplicar las pruebas de sustitución, como al identificar la función sintáctica del SP en las que están insertas.</w:t>
            </w:r>
          </w:p>
        </w:tc>
      </w:tr>
      <w:tr w:rsidR="006B240F" w14:paraId="6547903E" w14:textId="77777777">
        <w:tc>
          <w:tcPr>
            <w:tcW w:w="1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vAlign w:val="center"/>
          </w:tcPr>
          <w:p w14:paraId="27E5B34F" w14:textId="77777777" w:rsidR="006B240F" w:rsidRDefault="00512DFB">
            <w:pPr>
              <w:jc w:val="center"/>
              <w:rPr>
                <w:rFonts w:ascii="Sarakanda" w:eastAsia="Sarakanda" w:hAnsi="Sarakanda" w:cs="Sarakanda"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Análisis sintáctico de las oraciones subordinadas sustantivas (OSS)</w:t>
            </w:r>
          </w:p>
        </w:tc>
        <w:tc>
          <w:tcPr>
            <w:tcW w:w="4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CAB53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es capaz de realizar un análisis sintáctico co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mpleto de una oración compuesta con subordinación sustantiva, identificando correctamente todos los papeles semánticos de sus componentes y reflejando correctamente la jerarquía entre ellos.</w:t>
            </w:r>
          </w:p>
        </w:tc>
        <w:tc>
          <w:tcPr>
            <w:tcW w:w="4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56FE3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es capaz de realizar un análisis sintáctico completo ac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eptable de una oración compuesta con subordinación sustantiva, pero comete errores identificando algunos de los papeles semánticos de sus componentes o reflejando incorrectamente la jerarquía entre ellos.</w:t>
            </w:r>
          </w:p>
        </w:tc>
        <w:tc>
          <w:tcPr>
            <w:tcW w:w="4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021E0C" w14:textId="77777777" w:rsidR="006B240F" w:rsidRDefault="00512DFB">
            <w:pPr>
              <w:spacing w:before="100" w:after="100"/>
              <w:jc w:val="both"/>
              <w:rPr>
                <w:rFonts w:ascii="Sarakanda" w:eastAsia="Sarakanda" w:hAnsi="Sarakanda" w:cs="Sarakanda"/>
                <w:sz w:val="18"/>
                <w:szCs w:val="18"/>
              </w:rPr>
            </w:pPr>
            <w:r>
              <w:rPr>
                <w:rFonts w:ascii="Sarakanda" w:eastAsia="Sarakanda" w:hAnsi="Sarakanda" w:cs="Sarakanda"/>
                <w:sz w:val="18"/>
                <w:szCs w:val="18"/>
              </w:rPr>
              <w:t>El alumno no es capaz de realizar un análisis sintá</w:t>
            </w:r>
            <w:r>
              <w:rPr>
                <w:rFonts w:ascii="Sarakanda" w:eastAsia="Sarakanda" w:hAnsi="Sarakanda" w:cs="Sarakanda"/>
                <w:sz w:val="18"/>
                <w:szCs w:val="18"/>
              </w:rPr>
              <w:t>ctico completo aceptable de una oración compuesta con subordinación sustantiva y comete errores tanto identificando los papeles semánticos de sus componentes, como reflejando incorrectamente la jerarquía entre ellos.</w:t>
            </w:r>
          </w:p>
        </w:tc>
      </w:tr>
    </w:tbl>
    <w:p w14:paraId="05758B38" w14:textId="77777777" w:rsidR="006B240F" w:rsidRDefault="006B240F"/>
    <w:sectPr w:rsidR="006B240F">
      <w:headerReference w:type="default" r:id="rId6"/>
      <w:footerReference w:type="default" r:id="rId7"/>
      <w:pgSz w:w="16838" w:h="11906"/>
      <w:pgMar w:top="431" w:right="1353" w:bottom="417" w:left="1353" w:header="0" w:footer="14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66E50" w14:textId="77777777" w:rsidR="00512DFB" w:rsidRDefault="00512DFB">
      <w:pPr>
        <w:spacing w:line="240" w:lineRule="auto"/>
      </w:pPr>
      <w:r>
        <w:separator/>
      </w:r>
    </w:p>
  </w:endnote>
  <w:endnote w:type="continuationSeparator" w:id="0">
    <w:p w14:paraId="144AF002" w14:textId="77777777" w:rsidR="00512DFB" w:rsidRDefault="00512D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rakanda">
    <w:altName w:val="Calibri"/>
    <w:charset w:val="00"/>
    <w:family w:val="auto"/>
    <w:pitch w:val="default"/>
  </w:font>
  <w:font w:name="Helvetica Neue Ligh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AFAA1" w14:textId="07AA4B31" w:rsidR="006B240F" w:rsidRDefault="006B240F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eastAsia="Helvetica Neue Light" w:hAnsi="Helvetica Neue Light" w:cs="Helvetica Neue Light"/>
        <w:sz w:val="16"/>
        <w:szCs w:val="16"/>
      </w:rPr>
    </w:pPr>
  </w:p>
  <w:p w14:paraId="4DFDD88A" w14:textId="4304F246" w:rsidR="006B240F" w:rsidRDefault="006B240F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jc w:val="center"/>
      <w:rPr>
        <w:rFonts w:ascii="Helvetica Neue Light" w:eastAsia="Helvetica Neue Light" w:hAnsi="Helvetica Neue Light" w:cs="Helvetica Neue Light"/>
        <w:sz w:val="16"/>
        <w:szCs w:val="16"/>
      </w:rPr>
    </w:pPr>
  </w:p>
  <w:p w14:paraId="1E690F1C" w14:textId="55076830" w:rsidR="006B240F" w:rsidRDefault="002B09B6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rPr>
        <w:rFonts w:ascii="Helvetica Neue Light" w:eastAsia="Helvetica Neue Light" w:hAnsi="Helvetica Neue Light" w:cs="Helvetica Neue Light"/>
        <w:sz w:val="16"/>
        <w:szCs w:val="16"/>
      </w:rPr>
    </w:pPr>
    <w:r>
      <w:rPr>
        <w:noProof/>
      </w:rPr>
      <w:drawing>
        <wp:anchor distT="0" distB="101600" distL="0" distR="0" simplePos="0" relativeHeight="251659264" behindDoc="0" locked="0" layoutInCell="1" hidden="0" allowOverlap="1" wp14:anchorId="218B8F00" wp14:editId="1CD925B1">
          <wp:simplePos x="0" y="0"/>
          <wp:positionH relativeFrom="margin">
            <wp:align>center</wp:align>
          </wp:positionH>
          <wp:positionV relativeFrom="paragraph">
            <wp:posOffset>154940</wp:posOffset>
          </wp:positionV>
          <wp:extent cx="781050" cy="273050"/>
          <wp:effectExtent l="0" t="0" r="0" b="0"/>
          <wp:wrapSquare wrapText="bothSides" distT="0" distB="101600" distL="0" distR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1050" cy="2730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512DFB">
      <w:rPr>
        <w:rFonts w:ascii="Helvetica Neue Light" w:eastAsia="Helvetica Neue Light" w:hAnsi="Helvetica Neue Light" w:cs="Helvetica Neue Light"/>
        <w:sz w:val="16"/>
        <w:szCs w:val="16"/>
      </w:rPr>
      <w:t xml:space="preserve">Rúbrica de sintaxis de la oración subordinada sustantiva del Área de Recursos Educativos Digitales </w:t>
    </w:r>
    <w:r w:rsidR="00512DFB">
      <w:rPr>
        <w:rFonts w:ascii="Helvetica Neue Light" w:eastAsia="Helvetica Neue Light" w:hAnsi="Helvetica Neue Light" w:cs="Helvetica Neue Light"/>
        <w:sz w:val="16"/>
        <w:szCs w:val="16"/>
      </w:rPr>
      <w:t xml:space="preserve">(INTEF) se encuentra bajo una Licencia </w:t>
    </w:r>
    <w:proofErr w:type="spellStart"/>
    <w:r w:rsidR="00512DFB">
      <w:rPr>
        <w:rFonts w:ascii="Helvetica Neue Light" w:eastAsia="Helvetica Neue Light" w:hAnsi="Helvetica Neue Light" w:cs="Helvetica Neue Light"/>
        <w:sz w:val="16"/>
        <w:szCs w:val="16"/>
      </w:rPr>
      <w:t>Creative</w:t>
    </w:r>
    <w:proofErr w:type="spellEnd"/>
    <w:r w:rsidR="00512DFB">
      <w:rPr>
        <w:rFonts w:ascii="Helvetica Neue Light" w:eastAsia="Helvetica Neue Light" w:hAnsi="Helvetica Neue Light" w:cs="Helvetica Neue Light"/>
        <w:sz w:val="16"/>
        <w:szCs w:val="16"/>
      </w:rPr>
      <w:t xml:space="preserve"> </w:t>
    </w:r>
    <w:proofErr w:type="spellStart"/>
    <w:r w:rsidR="00512DFB">
      <w:rPr>
        <w:rFonts w:ascii="Helvetica Neue Light" w:eastAsia="Helvetica Neue Light" w:hAnsi="Helvetica Neue Light" w:cs="Helvetica Neue Light"/>
        <w:sz w:val="16"/>
        <w:szCs w:val="16"/>
      </w:rPr>
      <w:t>Commons</w:t>
    </w:r>
    <w:proofErr w:type="spellEnd"/>
    <w:r w:rsidR="00512DFB">
      <w:rPr>
        <w:rFonts w:ascii="Helvetica Neue Light" w:eastAsia="Helvetica Neue Light" w:hAnsi="Helvetica Neue Light" w:cs="Helvetica Neue Light"/>
        <w:sz w:val="16"/>
        <w:szCs w:val="16"/>
      </w:rPr>
      <w:t xml:space="preserve"> Atribución-</w:t>
    </w:r>
    <w:proofErr w:type="spellStart"/>
    <w:r w:rsidR="00512DFB">
      <w:rPr>
        <w:rFonts w:ascii="Helvetica Neue Light" w:eastAsia="Helvetica Neue Light" w:hAnsi="Helvetica Neue Light" w:cs="Helvetica Neue Light"/>
        <w:sz w:val="16"/>
        <w:szCs w:val="16"/>
      </w:rPr>
      <w:t>CompartirIgual</w:t>
    </w:r>
    <w:proofErr w:type="spellEnd"/>
    <w:r w:rsidR="00512DFB">
      <w:rPr>
        <w:rFonts w:ascii="Helvetica Neue Light" w:eastAsia="Helvetica Neue Light" w:hAnsi="Helvetica Neue Light" w:cs="Helvetica Neue Light"/>
        <w:sz w:val="16"/>
        <w:szCs w:val="16"/>
      </w:rPr>
      <w:t xml:space="preserve"> 4.0 España. </w:t>
    </w:r>
  </w:p>
  <w:p w14:paraId="3F756B01" w14:textId="5A9F65BB" w:rsidR="006B240F" w:rsidRDefault="006B240F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252"/>
        <w:tab w:val="right" w:pos="8504"/>
      </w:tabs>
      <w:spacing w:line="240" w:lineRule="auto"/>
      <w:rPr>
        <w:rFonts w:ascii="Calibri" w:eastAsia="Calibri" w:hAnsi="Calibri" w:cs="Calibri"/>
      </w:rPr>
    </w:pPr>
  </w:p>
  <w:p w14:paraId="1696EA4B" w14:textId="77777777" w:rsidR="006B240F" w:rsidRDefault="006B24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535E9E" w14:textId="77777777" w:rsidR="00512DFB" w:rsidRDefault="00512DFB">
      <w:pPr>
        <w:spacing w:line="240" w:lineRule="auto"/>
      </w:pPr>
      <w:r>
        <w:separator/>
      </w:r>
    </w:p>
  </w:footnote>
  <w:footnote w:type="continuationSeparator" w:id="0">
    <w:p w14:paraId="6F2C3244" w14:textId="77777777" w:rsidR="00512DFB" w:rsidRDefault="00512D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CFB16" w14:textId="77777777" w:rsidR="006B240F" w:rsidRDefault="00512DFB">
    <w:pPr>
      <w:jc w:val="center"/>
    </w:pPr>
    <w:r>
      <w:rPr>
        <w:noProof/>
      </w:rPr>
      <w:drawing>
        <wp:anchor distT="0" distB="0" distL="0" distR="0" simplePos="0" relativeHeight="251658240" behindDoc="0" locked="0" layoutInCell="1" hidden="0" allowOverlap="1" wp14:anchorId="048ACB0E" wp14:editId="5B9C984C">
          <wp:simplePos x="0" y="0"/>
          <wp:positionH relativeFrom="column">
            <wp:posOffset>6505575</wp:posOffset>
          </wp:positionH>
          <wp:positionV relativeFrom="paragraph">
            <wp:posOffset>180975</wp:posOffset>
          </wp:positionV>
          <wp:extent cx="2926080" cy="638175"/>
          <wp:effectExtent l="0" t="0" r="0" b="0"/>
          <wp:wrapSquare wrapText="bothSides" distT="0" distB="0" distL="0" distR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26080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5DA956DA" w14:textId="77777777" w:rsidR="006B240F" w:rsidRDefault="006B240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40F"/>
    <w:rsid w:val="002B09B6"/>
    <w:rsid w:val="00512DFB"/>
    <w:rsid w:val="006B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33FF"/>
  <w15:docId w15:val="{75E495A1-9E66-4B99-8BBB-DD0230C8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2B09B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0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Inmaculada Plaza Agudo</cp:lastModifiedBy>
  <cp:revision>2</cp:revision>
  <dcterms:created xsi:type="dcterms:W3CDTF">2020-10-29T11:31:00Z</dcterms:created>
  <dcterms:modified xsi:type="dcterms:W3CDTF">2020-10-29T11:33:00Z</dcterms:modified>
</cp:coreProperties>
</file>