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1296"/>
        </w:tabs>
        <w:spacing w:after="200" w:before="200" w:line="276" w:lineRule="auto"/>
        <w:ind w:left="0" w:right="0" w:firstLine="0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404040"/>
          <w:sz w:val="28"/>
          <w:szCs w:val="28"/>
          <w:u w:val="none"/>
          <w:shd w:fill="auto" w:val="clear"/>
          <w:vertAlign w:val="baseline"/>
          <w:rtl w:val="0"/>
        </w:rPr>
        <w:t xml:space="preserve">RÚBRICA </w:t>
      </w:r>
      <w:r w:rsidDel="00000000" w:rsidR="00000000" w:rsidRPr="00000000">
        <w:rPr>
          <w:b w:val="1"/>
          <w:i w:val="1"/>
          <w:color w:val="404040"/>
          <w:sz w:val="28"/>
          <w:szCs w:val="28"/>
          <w:rtl w:val="0"/>
        </w:rPr>
        <w:t xml:space="preserve">DE LAS CLAVES PARA EL ANÁLISIS SINTÁCTICO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7153540</wp:posOffset>
            </wp:positionH>
            <wp:positionV relativeFrom="paragraph">
              <wp:posOffset>0</wp:posOffset>
            </wp:positionV>
            <wp:extent cx="1866635" cy="404813"/>
            <wp:effectExtent b="0" l="0" r="0" t="0"/>
            <wp:wrapSquare wrapText="bothSides" distB="0" distT="0" distL="0" distR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66635" cy="4048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14490.0" w:type="dxa"/>
        <w:jc w:val="left"/>
        <w:tblInd w:w="-225.0" w:type="dxa"/>
        <w:tblLayout w:type="fixed"/>
        <w:tblLook w:val="0000"/>
      </w:tblPr>
      <w:tblGrid>
        <w:gridCol w:w="1935"/>
        <w:gridCol w:w="4095"/>
        <w:gridCol w:w="4215"/>
        <w:gridCol w:w="4245"/>
        <w:tblGridChange w:id="0">
          <w:tblGrid>
            <w:gridCol w:w="1935"/>
            <w:gridCol w:w="4095"/>
            <w:gridCol w:w="4215"/>
            <w:gridCol w:w="4245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top"/>
          </w:tcPr>
          <w:p w:rsidR="00000000" w:rsidDel="00000000" w:rsidP="00000000" w:rsidRDefault="00000000" w:rsidRPr="00000000" w14:paraId="00000002">
            <w:pPr>
              <w:spacing w:after="0" w:before="0" w:line="276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INDICADORES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8cce4" w:val="clear"/>
            <w:vAlign w:val="center"/>
          </w:tcPr>
          <w:p w:rsidR="00000000" w:rsidDel="00000000" w:rsidP="00000000" w:rsidRDefault="00000000" w:rsidRPr="00000000" w14:paraId="00000003">
            <w:pPr>
              <w:spacing w:after="0" w:before="0" w:line="276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Excelente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276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Bien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bd4b4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before="0" w:line="276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suficiente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Sarakanda" w:cs="Sarakanda" w:eastAsia="Sarakanda" w:hAnsi="Sarakanda"/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Semántica y Sintaxis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Entiende la diferencia entre la dimensión semántica y sintáctica de los enunciados, así como los conceptos de gramaticalidad y aceptabilidad.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Duda al reconocer la diferencia entre la dimensión del semántica y sintáctica de los enunciados, pero sabe distinguir gramaticalidad y aceptabilidad.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entiende la diferencia entre la dimensión semántica y sintáctica de los enunciados ni los conceptos de gramaticalidad y aceptabilidad.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El núcleo verbal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Es capaz de anticipar la estructura semántica de los distintos tipos de verbos (impersonales, intransitivos, transitivos, pasivos y atributivos) y de diferenciar complementos argumentales de los que no lo son.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Es capaz de anticipar la estructura semántica de los distintos tipos de verbos (impersonales, intransitivos, transitivos, pasivos y atributivos) y de diferenciar complementos argumentales de los que no lo son, pero le surgen dudas frecuentemente.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es capaz de anticipar la estructura semántica de los distintos tipos de verbos (impersonales, intransitivos, transitivos, pasivos y atributivos) ni de diferenciar complementos argumentales de los que no lo son.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Sujeto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Conoce y entiende la definición semántica (realiza la acción) y sintáctica (concuerda con el verbo) del sujeto. Sabe aplicar la prueba de la concordancia a sintagmas y oraciones para identificar sujetos, oraciones impersonales con “se” y pasivas reflejas.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Conoce y entiende la definición semántica (realiza la acción) y sintáctica (concuerda con el verbo) del sujeto, pero duda y comete errores al aplicar la prueba de la concordancia a sintagmas y oraciones para identificar sujetos, oraciones impersonales con “se” y pasivas reflejas.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conoce ni entiende la definición semántica (realiza la acción) y sintáctica (concuerda con el verbo) del sujeto. No sabe aplicar la prueba de la concordancia. Desconoce las impersonales con “se” y las pasivas reflejas.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Complemento directo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Comprende la definición semántica (recibe el efecto de la acción) y sabe aplicar correctamente la prueba de “lo +  verbo en participio  =__” a sintagmas y oraciones.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Comprende la definición semántica (recibe el efecto de la acción), pero a veces duda al aplicar la prueba de “lo +  verbo en participio  =__” a sintagmas y oraciones.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comprende la definición semántica (recibe el efecto de la acción) ni sabe aplicar correctamente la prueba de “lo +  verbo en participio  =__” a sintagmas y oraciones.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Complemento indirecto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Comprende la definición semántica (afectado indirectamente por la acción), reconoce su morfología (pronombres y SP) y sabe identificarlo siguiendo los pasos y distinguirlo del CD.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Comprende la definición semántica (afectado indirectamente por la acción), reconoce su morfología (pronombres y SP) pero a veces lo confunde con el CD.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comprende la definición semántica (afectado indirectamente por la acción), no reconoce su morfología (pronombres y SP) ni sabe identificarlo siguiendo los pasos de análisis.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Complemento regido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Anticipa el CR en la estructura semántica del verbo, identifica su morfología (SP) y lo distingue correctamente de los circunstanciales.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Anticipa el CR en la estructura semántica del verbo e identifica su morfología (SP), pero a veces lo confunde con circunstanciales.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anticipa el CR en la estructura semántica del verbo, no identifica su morfología (SP) ni lo distingue de los circunstanciales.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Complemento agente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Conoce y comprende la estructura semántica y sintáctica de la oración pasiva, identifica el papel semántico del complemento agente y reconoce su SP.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Está familiarizado con la oración pasiva, pero no sabe analizar correctamente su estructura semántica y sintáctica o confunde el agente con otros complementos.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Desconoce la estructura semántica y sintáctica de la oración pasiva y no identifica la morfología ni el papel semático del complemento agente.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Atributo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Conoce el predicado nominal y los verbos copulativos </w:t>
            </w:r>
            <w:r w:rsidDel="00000000" w:rsidR="00000000" w:rsidRPr="00000000">
              <w:rPr>
                <w:rFonts w:ascii="Sarakanda" w:cs="Sarakanda" w:eastAsia="Sarakanda" w:hAnsi="Sarakanda"/>
                <w:i w:val="1"/>
                <w:sz w:val="14"/>
                <w:szCs w:val="14"/>
                <w:rtl w:val="0"/>
              </w:rPr>
              <w:t xml:space="preserve">ser, estar</w:t>
            </w: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 y </w:t>
            </w:r>
            <w:r w:rsidDel="00000000" w:rsidR="00000000" w:rsidRPr="00000000">
              <w:rPr>
                <w:rFonts w:ascii="Sarakanda" w:cs="Sarakanda" w:eastAsia="Sarakanda" w:hAnsi="Sarakanda"/>
                <w:i w:val="1"/>
                <w:sz w:val="14"/>
                <w:szCs w:val="14"/>
                <w:rtl w:val="0"/>
              </w:rPr>
              <w:t xml:space="preserve">parecer</w:t>
            </w: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, así como su estructura semántica de S+V+Atributo y su concordancia con el sujeto. Identifica los verbos semicopulativos.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Conoce el predicado nominal y los verbos copulativos </w:t>
            </w:r>
            <w:r w:rsidDel="00000000" w:rsidR="00000000" w:rsidRPr="00000000">
              <w:rPr>
                <w:rFonts w:ascii="Sarakanda" w:cs="Sarakanda" w:eastAsia="Sarakanda" w:hAnsi="Sarakanda"/>
                <w:i w:val="1"/>
                <w:sz w:val="14"/>
                <w:szCs w:val="14"/>
                <w:rtl w:val="0"/>
              </w:rPr>
              <w:t xml:space="preserve">ser, estar</w:t>
            </w: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 y </w:t>
            </w:r>
            <w:r w:rsidDel="00000000" w:rsidR="00000000" w:rsidRPr="00000000">
              <w:rPr>
                <w:rFonts w:ascii="Sarakanda" w:cs="Sarakanda" w:eastAsia="Sarakanda" w:hAnsi="Sarakanda"/>
                <w:i w:val="1"/>
                <w:sz w:val="14"/>
                <w:szCs w:val="14"/>
                <w:rtl w:val="0"/>
              </w:rPr>
              <w:t xml:space="preserve">parecer</w:t>
            </w: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, así como su estructura semántica de S+V+Atributo y su concordancia con el sujeto. No identifica bien los verbos semicopulativos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Desconoce el predicado nominal y los verbos copulativos </w:t>
            </w:r>
            <w:r w:rsidDel="00000000" w:rsidR="00000000" w:rsidRPr="00000000">
              <w:rPr>
                <w:rFonts w:ascii="Sarakanda" w:cs="Sarakanda" w:eastAsia="Sarakanda" w:hAnsi="Sarakanda"/>
                <w:i w:val="1"/>
                <w:sz w:val="14"/>
                <w:szCs w:val="14"/>
                <w:rtl w:val="0"/>
              </w:rPr>
              <w:t xml:space="preserve">ser, estar</w:t>
            </w: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 y </w:t>
            </w:r>
            <w:r w:rsidDel="00000000" w:rsidR="00000000" w:rsidRPr="00000000">
              <w:rPr>
                <w:rFonts w:ascii="Sarakanda" w:cs="Sarakanda" w:eastAsia="Sarakanda" w:hAnsi="Sarakanda"/>
                <w:i w:val="1"/>
                <w:sz w:val="14"/>
                <w:szCs w:val="14"/>
                <w:rtl w:val="0"/>
              </w:rPr>
              <w:t xml:space="preserve">parecer</w:t>
            </w:r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, así como su estructura semántica de S+V+Atributo y su concordancia con el sujeto. No sabe lo que es un verbo semicopulativo.</w:t>
            </w:r>
          </w:p>
        </w:tc>
      </w:tr>
      <w:tr>
        <w:trPr>
          <w:trHeight w:val="87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Complementos circunstanciales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Entiende el carácter no argumental de estos complementos y los analiza después de localizar todo lo contenido en la estructura semántica del verbo. Comprende su función y conoce sus tipos.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Reconoce varios de estos complementos, pero no entiende su carácter no argumental ni los analiza después de localizar todo lo contenido en la estructura semántica del verbo.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entiende el carácter no argumental de estos complementos ni sigue un orden para analizarlos. Desconocer su función y sus tipos.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Complemento predicativo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Entiende el concepto (el estado del S/CD en el momento de la acción), reconoce su forma (adjetivo que concuerda) y aplica la pregunta adecuada para identificarlo.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Entiende el concepto (el estado del S/CD en el momento de la acción), reconoce su forma (adjetivo que concuerda), pero a veces duda o lo confunde con otros complementos.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entiende el concepto de complemento predicativo, no reconoce su forma ni aplica la pregunta adecuada para identificarlo.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Pasos de análisis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Ha integrado el sentido y el orden de los 6 pasos del método de análisis, los aplica correctamente y lo demuestra haciendo las reflexiones y pruebas adecuadas en cada uno.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Ha integrado el sentido y el orden de los 6 pasos del método de análisis, pero a veces duda en algunos o se equivoca al aplicarlos.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4"/>
                <w:szCs w:val="14"/>
                <w:rtl w:val="0"/>
              </w:rPr>
              <w:t xml:space="preserve">No ha integrado el sentido ni el orden de los 6 pasos del método de análisis, no los aplica correctamente ni lo demuestra haciendo las reflexiones y pruebas adecuadas en cada uno.</w:t>
            </w:r>
          </w:p>
        </w:tc>
      </w:tr>
    </w:tbl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</w:pBdr>
        <w:tabs>
          <w:tab w:val="center" w:pos="4252"/>
          <w:tab w:val="right" w:pos="8504"/>
        </w:tabs>
        <w:spacing w:line="240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footerReference r:id="rId11" w:type="even"/>
      <w:pgSz w:h="11906" w:w="16838" w:orient="landscape"/>
      <w:pgMar w:bottom="340.15748031496065" w:top="430.8661417322835" w:left="1354.96062992126" w:right="1354.96062992126" w:header="0" w:footer="170.078740157480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Sarakanda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cs="Helvetica Neue Light" w:eastAsia="Helvetica Neue Light" w:hAnsi="Helvetica Neue Light"/>
        <w:i w:val="1"/>
        <w:sz w:val="14"/>
        <w:szCs w:val="14"/>
      </w:rPr>
    </w:pPr>
    <w:r w:rsidDel="00000000" w:rsidR="00000000" w:rsidRPr="00000000">
      <w:rPr>
        <w:rFonts w:ascii="Helvetica Neue Light" w:cs="Helvetica Neue Light" w:eastAsia="Helvetica Neue Light" w:hAnsi="Helvetica Neue Light"/>
        <w:sz w:val="16"/>
        <w:szCs w:val="16"/>
      </w:rPr>
      <w:drawing>
        <wp:inline distB="101600" distT="0" distL="0" distR="0">
          <wp:extent cx="790575" cy="280027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0575" cy="2800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tabs>
        <w:tab w:val="center" w:pos="4252"/>
        <w:tab w:val="right" w:pos="8504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Fonts w:ascii="Helvetica Neue Light" w:cs="Helvetica Neue Light" w:eastAsia="Helvetica Neue Light" w:hAnsi="Helvetica Neue Light"/>
        <w:i w:val="1"/>
        <w:sz w:val="14"/>
        <w:szCs w:val="14"/>
        <w:rtl w:val="0"/>
      </w:rPr>
      <w:t xml:space="preserve">Rúbrica de las claves para el análisis sintáctico </w:t>
    </w: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del Área de Recursos Educativos Digitales (INTEF) se encuentra bajo una Licencia Creative Commons Atribución-CompartirIgual 4.0 España.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